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85" w:rsidRPr="00F70E6C" w:rsidRDefault="008F3085" w:rsidP="008F3085">
      <w:pPr>
        <w:jc w:val="center"/>
        <w:rPr>
          <w:rFonts w:ascii="宋体" w:eastAsia="宋体" w:hAnsi="宋体"/>
          <w:b/>
          <w:color w:val="FF0000"/>
          <w:sz w:val="72"/>
          <w:szCs w:val="72"/>
        </w:rPr>
      </w:pPr>
      <w:r w:rsidRPr="00F70E6C">
        <w:rPr>
          <w:rFonts w:ascii="宋体" w:eastAsia="宋体" w:hAnsi="宋体" w:hint="eastAsia"/>
          <w:b/>
          <w:color w:val="FF0000"/>
          <w:sz w:val="72"/>
          <w:szCs w:val="72"/>
        </w:rPr>
        <w:t>厦门大学台湾研究院</w:t>
      </w:r>
      <w:r w:rsidRPr="00F70E6C">
        <w:rPr>
          <w:rFonts w:ascii="宋体" w:eastAsia="宋体" w:hAnsi="宋体"/>
          <w:b/>
          <w:color w:val="FF0000"/>
          <w:sz w:val="72"/>
          <w:szCs w:val="72"/>
        </w:rPr>
        <w:t>文件</w:t>
      </w:r>
    </w:p>
    <w:p w:rsidR="008F3085" w:rsidRDefault="008F3085" w:rsidP="008F3085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F3085" w:rsidRPr="007959A9" w:rsidRDefault="008F3085" w:rsidP="008F3085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厦大台</w:t>
      </w:r>
      <w:proofErr w:type="gramStart"/>
      <w:r>
        <w:rPr>
          <w:rFonts w:ascii="仿宋" w:eastAsia="仿宋" w:hAnsi="仿宋" w:hint="eastAsia"/>
          <w:b/>
          <w:color w:val="FF0000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b/>
          <w:color w:val="FF0000"/>
          <w:sz w:val="32"/>
          <w:szCs w:val="32"/>
        </w:rPr>
        <w:t>〔</w:t>
      </w:r>
      <w:r>
        <w:rPr>
          <w:rFonts w:ascii="仿宋" w:eastAsia="仿宋" w:hAnsi="仿宋"/>
          <w:b/>
          <w:color w:val="FF0000"/>
          <w:sz w:val="32"/>
          <w:szCs w:val="32"/>
        </w:rPr>
        <w:t>2023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〕</w:t>
      </w:r>
      <w:r>
        <w:rPr>
          <w:rFonts w:ascii="仿宋" w:eastAsia="仿宋" w:hAnsi="仿宋"/>
          <w:b/>
          <w:color w:val="FF0000"/>
          <w:sz w:val="32"/>
          <w:szCs w:val="32"/>
        </w:rPr>
        <w:t>2</w:t>
      </w:r>
      <w:r w:rsidRPr="007959A9">
        <w:rPr>
          <w:rFonts w:ascii="仿宋" w:eastAsia="仿宋" w:hAnsi="仿宋" w:hint="eastAsia"/>
          <w:b/>
          <w:color w:val="FF0000"/>
          <w:sz w:val="32"/>
          <w:szCs w:val="32"/>
        </w:rPr>
        <w:t>号</w:t>
      </w:r>
    </w:p>
    <w:p w:rsidR="008F3085" w:rsidRDefault="008F3085" w:rsidP="008F308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A9BD" wp14:editId="5C9A8A4E">
                <wp:simplePos x="0" y="0"/>
                <wp:positionH relativeFrom="margin">
                  <wp:posOffset>0</wp:posOffset>
                </wp:positionH>
                <wp:positionV relativeFrom="paragraph">
                  <wp:posOffset>214539</wp:posOffset>
                </wp:positionV>
                <wp:extent cx="5399405" cy="0"/>
                <wp:effectExtent l="0" t="0" r="2984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59B30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9pt" to="425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" strokecolor="red">
                <w10:wrap anchorx="margin"/>
              </v:line>
            </w:pict>
          </mc:Fallback>
        </mc:AlternateContent>
      </w:r>
    </w:p>
    <w:p w:rsidR="008F3085" w:rsidRDefault="008F3085" w:rsidP="008F308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关于印发《</w:t>
      </w:r>
      <w:r w:rsidR="00663B91" w:rsidRPr="00663B91"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厦门大学台湾研究院专家咨询费管理办法（</w:t>
      </w:r>
      <w:r w:rsidR="00663B91" w:rsidRPr="00663B91"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2023</w:t>
      </w:r>
      <w:r w:rsidR="00663B91" w:rsidRPr="00663B91"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年修订）</w:t>
      </w:r>
      <w:r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》的通知</w:t>
      </w:r>
    </w:p>
    <w:p w:rsidR="008F3085" w:rsidRPr="00663B91" w:rsidRDefault="008F3085" w:rsidP="008F308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</w:pPr>
    </w:p>
    <w:p w:rsidR="008F3085" w:rsidRPr="00C247B3" w:rsidRDefault="008F3085" w:rsidP="00E56CB1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全院师生：</w:t>
      </w:r>
    </w:p>
    <w:p w:rsidR="008F3085" w:rsidRDefault="008F3085" w:rsidP="00E56CB1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《</w:t>
      </w:r>
      <w:bookmarkStart w:id="0" w:name="_Hlk135654628"/>
      <w:r w:rsidRPr="008F3085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厦门大学台湾研究院专家咨询费管理办法（2023年修订）</w:t>
      </w:r>
      <w:bookmarkEnd w:id="0"/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》经202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3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年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5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月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8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日台湾研究院党政联席会审议通过，现予以印发，请遵照执行。</w:t>
      </w:r>
    </w:p>
    <w:p w:rsidR="008F3085" w:rsidRDefault="008F3085" w:rsidP="00E56CB1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特此通知。</w:t>
      </w:r>
    </w:p>
    <w:p w:rsidR="00DF485D" w:rsidRDefault="00DF485D" w:rsidP="008F3085">
      <w:pPr>
        <w:adjustRightInd w:val="0"/>
        <w:snapToGrid w:val="0"/>
        <w:spacing w:line="560" w:lineRule="exact"/>
        <w:ind w:firstLineChars="200" w:firstLine="584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</w:p>
    <w:p w:rsidR="008F3085" w:rsidRDefault="008F3085" w:rsidP="008F3085">
      <w:pPr>
        <w:adjustRightInd w:val="0"/>
        <w:snapToGrid w:val="0"/>
        <w:spacing w:line="560" w:lineRule="exact"/>
        <w:ind w:firstLineChars="200" w:firstLine="584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厦门大学台湾研究院</w:t>
      </w:r>
    </w:p>
    <w:p w:rsidR="008F3085" w:rsidRDefault="008F3085" w:rsidP="008F3085">
      <w:pPr>
        <w:spacing w:line="560" w:lineRule="exact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2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02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年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月</w:t>
      </w:r>
      <w:r w:rsidR="00663B91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22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日</w:t>
      </w:r>
    </w:p>
    <w:p w:rsidR="008F3085" w:rsidRDefault="008F3085" w:rsidP="008F3085">
      <w:pPr>
        <w:widowControl/>
        <w:jc w:val="lef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br w:type="page"/>
      </w:r>
    </w:p>
    <w:p w:rsidR="00AF20B1" w:rsidRPr="00EB4A03" w:rsidRDefault="00AF20B1" w:rsidP="0073004E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  <w:r w:rsidRPr="00EB4A0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lastRenderedPageBreak/>
        <w:t>厦门大学</w:t>
      </w:r>
      <w:r w:rsidR="00DC371C" w:rsidRPr="00EB4A0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台湾研究院</w:t>
      </w:r>
      <w:r w:rsidRPr="00EB4A0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专家咨询费管理办法</w:t>
      </w:r>
      <w:r w:rsidR="00897540" w:rsidRPr="00897540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（2023年修订）</w:t>
      </w:r>
    </w:p>
    <w:p w:rsidR="0073004E" w:rsidRDefault="0073004E" w:rsidP="0073004E">
      <w:pPr>
        <w:spacing w:line="560" w:lineRule="exact"/>
        <w:ind w:firstLine="560"/>
        <w:rPr>
          <w:rFonts w:ascii="仿宋_GB2312" w:eastAsia="仿宋_GB2312"/>
          <w:b/>
          <w:sz w:val="28"/>
          <w:szCs w:val="28"/>
        </w:rPr>
      </w:pPr>
    </w:p>
    <w:p w:rsidR="00AF20B1" w:rsidRPr="00624DAD" w:rsidRDefault="00AF20B1" w:rsidP="0073004E">
      <w:pPr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 w:rsidRPr="00624DAD">
        <w:rPr>
          <w:rFonts w:ascii="仿宋_GB2312" w:eastAsia="仿宋_GB2312" w:hint="eastAsia"/>
          <w:b/>
          <w:sz w:val="32"/>
          <w:szCs w:val="32"/>
        </w:rPr>
        <w:t>第一条</w:t>
      </w:r>
      <w:r w:rsidR="00C31F15" w:rsidRPr="00624DAD">
        <w:rPr>
          <w:rFonts w:ascii="仿宋_GB2312" w:eastAsia="仿宋_GB2312" w:hint="eastAsia"/>
          <w:sz w:val="32"/>
          <w:szCs w:val="32"/>
        </w:rPr>
        <w:t xml:space="preserve">  </w:t>
      </w:r>
      <w:r w:rsidR="00DC371C" w:rsidRPr="00624DAD">
        <w:rPr>
          <w:rFonts w:ascii="仿宋_GB2312" w:eastAsia="仿宋_GB2312" w:hint="eastAsia"/>
          <w:sz w:val="32"/>
          <w:szCs w:val="32"/>
        </w:rPr>
        <w:t>为加强和规范研究院</w:t>
      </w:r>
      <w:r w:rsidRPr="00624DAD">
        <w:rPr>
          <w:rFonts w:ascii="仿宋_GB2312" w:eastAsia="仿宋_GB2312" w:hint="eastAsia"/>
          <w:sz w:val="32"/>
          <w:szCs w:val="32"/>
        </w:rPr>
        <w:t>专家咨询费的管理，提高资</w:t>
      </w:r>
      <w:r w:rsidR="00DC371C" w:rsidRPr="00624DAD">
        <w:rPr>
          <w:rFonts w:ascii="仿宋_GB2312" w:eastAsia="仿宋_GB2312" w:hint="eastAsia"/>
          <w:sz w:val="32"/>
          <w:szCs w:val="32"/>
        </w:rPr>
        <w:t>金使用效率，根据《</w:t>
      </w:r>
      <w:r w:rsidRPr="00624DAD">
        <w:rPr>
          <w:rFonts w:ascii="仿宋_GB2312" w:eastAsia="仿宋_GB2312" w:hint="eastAsia"/>
          <w:sz w:val="32"/>
          <w:szCs w:val="32"/>
        </w:rPr>
        <w:t>中央财政科研项目专家咨询费管理办法</w:t>
      </w:r>
      <w:r w:rsidR="00DC371C" w:rsidRPr="00624DAD">
        <w:rPr>
          <w:rFonts w:ascii="仿宋_GB2312" w:eastAsia="仿宋_GB2312" w:hint="eastAsia"/>
          <w:sz w:val="32"/>
          <w:szCs w:val="32"/>
        </w:rPr>
        <w:t>》及《厦门大学科研项目专家咨询费管理办法》的精神，结合研究院</w:t>
      </w:r>
      <w:r w:rsidRPr="00624DAD">
        <w:rPr>
          <w:rFonts w:ascii="仿宋_GB2312" w:eastAsia="仿宋_GB2312" w:hint="eastAsia"/>
          <w:sz w:val="32"/>
          <w:szCs w:val="32"/>
        </w:rPr>
        <w:t>工作实际，制定本办法。</w:t>
      </w:r>
    </w:p>
    <w:p w:rsidR="00AF20B1" w:rsidRPr="00624DAD" w:rsidRDefault="00AF20B1" w:rsidP="0073004E">
      <w:pPr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 w:rsidRPr="00624DAD">
        <w:rPr>
          <w:rFonts w:ascii="仿宋_GB2312" w:eastAsia="仿宋_GB2312" w:hint="eastAsia"/>
          <w:b/>
          <w:sz w:val="32"/>
          <w:szCs w:val="32"/>
        </w:rPr>
        <w:t>第二条</w:t>
      </w:r>
      <w:r w:rsidR="00C31F15" w:rsidRPr="00624DAD">
        <w:rPr>
          <w:rFonts w:ascii="仿宋_GB2312" w:eastAsia="仿宋_GB2312" w:hint="eastAsia"/>
          <w:sz w:val="32"/>
          <w:szCs w:val="32"/>
        </w:rPr>
        <w:t xml:space="preserve">  </w:t>
      </w:r>
      <w:r w:rsidR="00DC371C" w:rsidRPr="00624DAD">
        <w:rPr>
          <w:rFonts w:ascii="仿宋_GB2312" w:eastAsia="仿宋_GB2312" w:hint="eastAsia"/>
          <w:sz w:val="32"/>
          <w:szCs w:val="32"/>
        </w:rPr>
        <w:t>本办法所称专家咨询费，是指项目（课题）承担单位或个人在项目（课题）研究</w:t>
      </w:r>
      <w:r w:rsidRPr="00624DAD">
        <w:rPr>
          <w:rFonts w:ascii="仿宋_GB2312" w:eastAsia="仿宋_GB2312" w:hint="eastAsia"/>
          <w:sz w:val="32"/>
          <w:szCs w:val="32"/>
        </w:rPr>
        <w:t>过程中支付给临时聘请的咨询专家的</w:t>
      </w:r>
      <w:r w:rsidR="00DC371C" w:rsidRPr="00624DAD">
        <w:rPr>
          <w:rFonts w:ascii="仿宋_GB2312" w:eastAsia="仿宋_GB2312" w:hint="eastAsia"/>
          <w:sz w:val="32"/>
          <w:szCs w:val="32"/>
        </w:rPr>
        <w:t>劳务</w:t>
      </w:r>
      <w:r w:rsidRPr="00624DAD">
        <w:rPr>
          <w:rFonts w:ascii="仿宋_GB2312" w:eastAsia="仿宋_GB2312" w:hint="eastAsia"/>
          <w:sz w:val="32"/>
          <w:szCs w:val="32"/>
        </w:rPr>
        <w:t>费用。</w:t>
      </w:r>
    </w:p>
    <w:p w:rsidR="00AF20B1" w:rsidRPr="00624DAD" w:rsidRDefault="00AF20B1" w:rsidP="0073004E">
      <w:pPr>
        <w:spacing w:line="560" w:lineRule="exact"/>
        <w:ind w:firstLine="56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24DA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第三条</w:t>
      </w:r>
      <w:r w:rsidR="00C31F15"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DC371C"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专家咨询活动的组织形式主要有会议、现场访谈</w:t>
      </w: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、通讯三种形式。</w:t>
      </w:r>
    </w:p>
    <w:p w:rsidR="00AF20B1" w:rsidRPr="00624DAD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（1）以会议形式组织的咨询，是指通过召开专家参加的会议，征询专家的意见和建议。</w:t>
      </w:r>
    </w:p>
    <w:p w:rsidR="00AF20B1" w:rsidRPr="00624DAD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（2</w:t>
      </w:r>
      <w:r w:rsidR="00DC371C"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）以现场访谈</w:t>
      </w: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形式组织的咨询，是指通过组织现场</w:t>
      </w:r>
      <w:r w:rsidR="00DC371C"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谈话</w:t>
      </w: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等方式征询专家的意见和建议。</w:t>
      </w:r>
    </w:p>
    <w:p w:rsidR="00AF20B1" w:rsidRPr="00624DAD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（3）以通讯形式组织的咨询，是指通过信函、邮件等方式征询专家的意见和建议。</w:t>
      </w:r>
    </w:p>
    <w:p w:rsidR="00B947EC" w:rsidRPr="00624DAD" w:rsidRDefault="00433055" w:rsidP="0073004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24DA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第四条</w:t>
      </w: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F519D6"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专家咨询费包括使用研究</w:t>
      </w:r>
      <w:r w:rsidRPr="00624DAD">
        <w:rPr>
          <w:rFonts w:ascii="仿宋_GB2312" w:eastAsia="仿宋_GB2312" w:hAnsiTheme="minorEastAsia" w:cs="宋体" w:hint="eastAsia"/>
          <w:kern w:val="0"/>
          <w:sz w:val="32"/>
          <w:szCs w:val="32"/>
        </w:rPr>
        <w:t>院统筹项目经费发放的专家咨询费及使用个人项目（课题）经费发放的专家咨询费。</w:t>
      </w:r>
    </w:p>
    <w:p w:rsidR="00B947EC" w:rsidRPr="00A344AA" w:rsidRDefault="00B947EC" w:rsidP="0073004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bookmarkStart w:id="1" w:name="_GoBack"/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（1）</w:t>
      </w:r>
      <w:r w:rsidR="00F519D6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研究院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统筹项目经费包括双一流专项经费、国家</w:t>
      </w:r>
      <w:proofErr w:type="gramStart"/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高端智库经费</w:t>
      </w:r>
      <w:proofErr w:type="gramEnd"/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、教育部文科重点研究基地经费、区域与国别</w:t>
      </w:r>
      <w:proofErr w:type="gramStart"/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研究</w:t>
      </w:r>
      <w:proofErr w:type="gramEnd"/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台港澳中心经费等以学院名义申请的、由学院统筹使用的项目</w:t>
      </w:r>
      <w:r w:rsidR="0078059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（课题）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经费；</w:t>
      </w:r>
    </w:p>
    <w:p w:rsidR="00433055" w:rsidRPr="00A344AA" w:rsidRDefault="00B947EC" w:rsidP="0073004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（2）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个人项目（课题）经费指以老师个人名义申请的纵向及横向科研项目（课题）经费。</w:t>
      </w:r>
    </w:p>
    <w:p w:rsidR="00DC371C" w:rsidRPr="00A344AA" w:rsidRDefault="00433055" w:rsidP="0073004E">
      <w:pPr>
        <w:spacing w:line="560" w:lineRule="exact"/>
        <w:ind w:firstLine="56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第五</w:t>
      </w:r>
      <w:r w:rsidR="00AF20B1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条</w:t>
      </w:r>
      <w:r w:rsidR="00C31F1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F519D6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使用研究</w:t>
      </w:r>
      <w:r w:rsidR="00DC371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院统筹项目经费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发放</w:t>
      </w:r>
      <w:r w:rsidR="00DC371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的专家咨询费，标椎（税后）如下：</w:t>
      </w:r>
    </w:p>
    <w:p w:rsidR="00DC371C" w:rsidRPr="00A344AA" w:rsidRDefault="00DC371C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（1）院士、全国知名专家不超过</w:t>
      </w:r>
      <w:r w:rsidR="00050032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24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00元/人/天；</w:t>
      </w:r>
    </w:p>
    <w:p w:rsidR="00DC371C" w:rsidRPr="00A344AA" w:rsidRDefault="00DC371C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（2）高级专业技术职称人员不超过1500元/人/天；</w:t>
      </w:r>
    </w:p>
    <w:p w:rsidR="00DC371C" w:rsidRPr="00A344AA" w:rsidRDefault="00DC371C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（3）其他专业技术职称人员</w:t>
      </w:r>
      <w:r w:rsidR="00050032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不超过1000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/人/天。</w:t>
      </w:r>
    </w:p>
    <w:p w:rsidR="00DC371C" w:rsidRPr="00A344AA" w:rsidRDefault="00050032" w:rsidP="0073004E">
      <w:pPr>
        <w:spacing w:line="560" w:lineRule="exact"/>
        <w:ind w:firstLine="56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根据研究工作的实际需要，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在OA上提交申请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说明该专家</w:t>
      </w:r>
      <w:r w:rsidR="005456F3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的重要性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并经</w:t>
      </w:r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分管</w:t>
      </w:r>
      <w:proofErr w:type="gramStart"/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科研副</w:t>
      </w:r>
      <w:proofErr w:type="gramEnd"/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院长及经费一支笔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审批，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可按照上述专家咨询费的标准适当上浮，上浮比例不超过50%。</w:t>
      </w:r>
    </w:p>
    <w:p w:rsidR="00AF20B1" w:rsidRPr="00A344AA" w:rsidRDefault="00433055" w:rsidP="0073004E">
      <w:pPr>
        <w:spacing w:line="560" w:lineRule="exact"/>
        <w:ind w:firstLine="56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第六</w:t>
      </w:r>
      <w:r w:rsidR="00050032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 xml:space="preserve">条 </w:t>
      </w:r>
      <w:r w:rsidR="00050032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使用个人项目（课题）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发放的</w:t>
      </w:r>
      <w:r w:rsidR="00AF20B1" w:rsidRPr="00A344AA">
        <w:rPr>
          <w:rFonts w:ascii="仿宋_GB2312" w:eastAsia="仿宋_GB2312" w:hint="eastAsia"/>
          <w:sz w:val="32"/>
          <w:szCs w:val="32"/>
        </w:rPr>
        <w:t>专家</w:t>
      </w:r>
      <w:r w:rsidR="00AF20B1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咨询费</w:t>
      </w:r>
      <w:r w:rsidR="00050032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AF20B1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标准(税后)如下：</w:t>
      </w:r>
    </w:p>
    <w:p w:rsidR="00AF20B1" w:rsidRPr="00A344AA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（1）院士、全国知名专家2250-3600元/人/天；</w:t>
      </w:r>
    </w:p>
    <w:p w:rsidR="00AF20B1" w:rsidRPr="00A344AA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（2）高级专业技术职称人员1500-2400元/人/天；</w:t>
      </w:r>
    </w:p>
    <w:p w:rsidR="00AF20B1" w:rsidRPr="00A344AA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（3）其他专业技术职称人员900-1500/人/天。</w:t>
      </w:r>
    </w:p>
    <w:p w:rsidR="00AF20B1" w:rsidRPr="00A344AA" w:rsidRDefault="00AF20B1" w:rsidP="0073004E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使用横向科研经费开支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的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专家咨询费，根据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研究工作的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实际需要，经科研管理部门审批，可按照上述</w:t>
      </w:r>
      <w:r w:rsidRPr="00A344AA">
        <w:rPr>
          <w:rFonts w:ascii="仿宋_GB2312" w:eastAsia="仿宋_GB2312" w:hAnsiTheme="minorEastAsia" w:cs="Times New Roman" w:hint="eastAsia"/>
          <w:spacing w:val="-2"/>
          <w:sz w:val="32"/>
          <w:szCs w:val="32"/>
        </w:rPr>
        <w:t>专家咨询费标准适当上浮，上浮比例不超过50%。</w:t>
      </w:r>
    </w:p>
    <w:p w:rsidR="001E0BE0" w:rsidRPr="00A344AA" w:rsidRDefault="00433055" w:rsidP="0073004E">
      <w:pPr>
        <w:spacing w:line="560" w:lineRule="exact"/>
        <w:ind w:firstLine="56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第七</w:t>
      </w:r>
      <w:r w:rsidR="00AF20B1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条</w:t>
      </w:r>
      <w:r w:rsidR="00C31F1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AF20B1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不同形式组织的专家咨询活动适用专家咨询费标准如下：</w:t>
      </w:r>
    </w:p>
    <w:tbl>
      <w:tblPr>
        <w:tblW w:w="8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145"/>
        <w:gridCol w:w="2385"/>
        <w:gridCol w:w="2400"/>
      </w:tblGrid>
      <w:tr w:rsidR="00A344AA" w:rsidRPr="00A344AA" w:rsidTr="00CD6A06">
        <w:trPr>
          <w:trHeight w:val="9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0B1" w:rsidRPr="00A344AA" w:rsidRDefault="00CD6A06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</w:t>
            </w:r>
            <w:r w:rsidR="00050032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时间</w:t>
            </w:r>
          </w:p>
          <w:p w:rsidR="00AF20B1" w:rsidRPr="00A344AA" w:rsidRDefault="00AF20B1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半天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1F15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不超过两天</w:t>
            </w:r>
          </w:p>
          <w:p w:rsidR="00AF20B1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（含两天）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超过两天</w:t>
            </w:r>
          </w:p>
        </w:tc>
      </w:tr>
      <w:tr w:rsidR="00A344AA" w:rsidRPr="00A344AA" w:rsidTr="003A4DE9">
        <w:trPr>
          <w:trHeight w:val="1215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ind w:firstLine="6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会议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433055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按照本办法第五</w:t>
            </w:r>
            <w:r w:rsidR="00AF20B1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条</w:t>
            </w: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及第六条</w:t>
            </w:r>
            <w:r w:rsidR="00AF20B1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所规定标准的60%执行。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按照本办法</w:t>
            </w:r>
            <w:r w:rsidR="00433055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第五条及第六条</w:t>
            </w: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所规定的标准执行。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第三天及以后按照本办法</w:t>
            </w:r>
            <w:r w:rsidR="00433055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第五条</w:t>
            </w:r>
            <w:r w:rsidR="00433055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及第六条</w:t>
            </w: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所规定标准的50%执行。</w:t>
            </w:r>
          </w:p>
        </w:tc>
      </w:tr>
      <w:tr w:rsidR="00A344AA" w:rsidRPr="00A344AA" w:rsidTr="003A4DE9">
        <w:trPr>
          <w:trHeight w:val="567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现场访谈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按照上述以会议形式组织的专家咨询</w:t>
            </w:r>
            <w:proofErr w:type="gramStart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费相关</w:t>
            </w:r>
            <w:proofErr w:type="gramEnd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标准执行。</w:t>
            </w:r>
          </w:p>
        </w:tc>
      </w:tr>
      <w:tr w:rsidR="00A344AA" w:rsidRPr="00A344AA" w:rsidTr="003A4DE9">
        <w:trPr>
          <w:trHeight w:val="567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A344AA" w:rsidRDefault="00AF20B1" w:rsidP="00624DAD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按次计算，每次按照不高于本办法</w:t>
            </w:r>
            <w:r w:rsidR="00433055"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第五条及第六条</w:t>
            </w: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所规定标准的50%执行。</w:t>
            </w:r>
          </w:p>
        </w:tc>
      </w:tr>
    </w:tbl>
    <w:p w:rsidR="006622AB" w:rsidRPr="00A344AA" w:rsidRDefault="006622AB" w:rsidP="0073004E">
      <w:pPr>
        <w:spacing w:line="560" w:lineRule="exact"/>
        <w:ind w:firstLine="561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第八条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专家咨询费实行非现金发放，由学校财务处将咨询费直接打入专家本人银行卡，并由学校财务处代扣代缴个人所得税。</w:t>
      </w:r>
    </w:p>
    <w:p w:rsidR="00AF20B1" w:rsidRPr="00A344AA" w:rsidRDefault="006622AB" w:rsidP="0073004E">
      <w:pPr>
        <w:spacing w:line="560" w:lineRule="exact"/>
        <w:ind w:firstLine="561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第九</w:t>
      </w:r>
      <w:r w:rsidR="00AF20B1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条</w:t>
      </w:r>
      <w:r w:rsidR="00C31F1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B947E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发放咨询费所需要的材料：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A344AA" w:rsidRPr="00A344AA" w:rsidTr="00B947EC">
        <w:tc>
          <w:tcPr>
            <w:tcW w:w="1809" w:type="dxa"/>
          </w:tcPr>
          <w:p w:rsidR="00B947EC" w:rsidRPr="00A344AA" w:rsidRDefault="00B947EC" w:rsidP="00624DA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咨询形式</w:t>
            </w:r>
          </w:p>
        </w:tc>
        <w:tc>
          <w:tcPr>
            <w:tcW w:w="6946" w:type="dxa"/>
          </w:tcPr>
          <w:p w:rsidR="00B947EC" w:rsidRPr="00A344AA" w:rsidRDefault="00B947EC" w:rsidP="00624DA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材料</w:t>
            </w:r>
          </w:p>
        </w:tc>
      </w:tr>
      <w:tr w:rsidR="00A344AA" w:rsidRPr="00A344AA" w:rsidTr="00780590">
        <w:tc>
          <w:tcPr>
            <w:tcW w:w="1809" w:type="dxa"/>
            <w:vAlign w:val="center"/>
          </w:tcPr>
          <w:p w:rsidR="00B947EC" w:rsidRPr="00A344AA" w:rsidRDefault="00B947EC" w:rsidP="00624DA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会议</w:t>
            </w:r>
          </w:p>
        </w:tc>
        <w:tc>
          <w:tcPr>
            <w:tcW w:w="6946" w:type="dxa"/>
          </w:tcPr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会议邀请函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专家来厦凭证（火车票、登机牌等，可使用复印件）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专家身份证件复印件（身份证、护照、</w:t>
            </w:r>
            <w:proofErr w:type="gramStart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大通证</w:t>
            </w:r>
            <w:proofErr w:type="gramEnd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等）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专家银行信息（户名、银行卡账号、开户银行）</w:t>
            </w:r>
          </w:p>
          <w:p w:rsidR="006622AB" w:rsidRPr="00A344AA" w:rsidRDefault="006622AB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专家咨询费发放情况表</w:t>
            </w:r>
          </w:p>
        </w:tc>
      </w:tr>
      <w:tr w:rsidR="00A344AA" w:rsidRPr="00A344AA" w:rsidTr="00780590">
        <w:tc>
          <w:tcPr>
            <w:tcW w:w="1809" w:type="dxa"/>
            <w:vAlign w:val="center"/>
          </w:tcPr>
          <w:p w:rsidR="00B947EC" w:rsidRPr="00A344AA" w:rsidRDefault="00B947EC" w:rsidP="00624DA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现场访谈</w:t>
            </w:r>
          </w:p>
        </w:tc>
        <w:tc>
          <w:tcPr>
            <w:tcW w:w="6946" w:type="dxa"/>
          </w:tcPr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专家来厦凭证（火车票、登机牌等，可使用复印件）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专家身份证件复印件（身份证、护照、</w:t>
            </w:r>
            <w:proofErr w:type="gramStart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大通证</w:t>
            </w:r>
            <w:proofErr w:type="gramEnd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等）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专家银行信息（户名、银行卡账号、开户银行）</w:t>
            </w:r>
          </w:p>
          <w:p w:rsidR="006622AB" w:rsidRPr="00A344AA" w:rsidRDefault="006622AB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专家咨询费发放情况表</w:t>
            </w:r>
          </w:p>
        </w:tc>
      </w:tr>
      <w:tr w:rsidR="00A344AA" w:rsidRPr="00A344AA" w:rsidTr="00780590">
        <w:tc>
          <w:tcPr>
            <w:tcW w:w="1809" w:type="dxa"/>
            <w:vAlign w:val="center"/>
          </w:tcPr>
          <w:p w:rsidR="00B947EC" w:rsidRPr="00A344AA" w:rsidRDefault="00B947EC" w:rsidP="00624DA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/>
                <w:kern w:val="0"/>
                <w:sz w:val="28"/>
                <w:szCs w:val="28"/>
              </w:rPr>
              <w:t>通讯</w:t>
            </w:r>
          </w:p>
        </w:tc>
        <w:tc>
          <w:tcPr>
            <w:tcW w:w="6946" w:type="dxa"/>
          </w:tcPr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专家身份证件复印件（身份证、护照、</w:t>
            </w:r>
            <w:proofErr w:type="gramStart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大通证</w:t>
            </w:r>
            <w:proofErr w:type="gramEnd"/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等）</w:t>
            </w:r>
          </w:p>
          <w:p w:rsidR="00B947EC" w:rsidRPr="00A344AA" w:rsidRDefault="00B947EC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专家银行信息（户名、银行卡账号、开户银行）</w:t>
            </w:r>
          </w:p>
          <w:p w:rsidR="006622AB" w:rsidRPr="00A344AA" w:rsidRDefault="006622AB" w:rsidP="00624DA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344A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专家咨询费发放情况表</w:t>
            </w:r>
          </w:p>
        </w:tc>
      </w:tr>
    </w:tbl>
    <w:p w:rsidR="00B947EC" w:rsidRPr="00A344AA" w:rsidRDefault="00B947EC" w:rsidP="0073004E">
      <w:pPr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按全国知名专家标准发放的专家咨询费，需另外提供该专家</w:t>
      </w:r>
      <w:r w:rsidR="0078059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的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简要介绍。</w:t>
      </w:r>
    </w:p>
    <w:p w:rsidR="006622AB" w:rsidRPr="00A344AA" w:rsidRDefault="006622AB" w:rsidP="0073004E">
      <w:pPr>
        <w:spacing w:line="560" w:lineRule="exact"/>
        <w:ind w:firstLine="200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 xml:space="preserve">第十条  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由于台湾研究口述历史项目的特殊性，需要与访谈专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家签订《台湾研究口述历史访谈合同》，并提供访谈提纲，不需要填写《专家咨询费发放情况表》。每位访谈专家劳务费不超过5000元（税前）。</w:t>
      </w:r>
    </w:p>
    <w:p w:rsidR="00B947EC" w:rsidRPr="00A344AA" w:rsidRDefault="006622AB" w:rsidP="0073004E">
      <w:pPr>
        <w:spacing w:line="560" w:lineRule="exact"/>
        <w:ind w:firstLine="20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第十一条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专家咨询费不得支付给校内师生及参与项目（课题）研究及其管理的相关人员。严禁巧立名目变相发放专家咨询费，严禁以专家咨询费名义套取项目经费。</w:t>
      </w:r>
      <w:r w:rsidR="00F519D6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使用研究院统筹项目经费的情况，已发放讲座费的讲座专家，原则上不得同时发放专家咨询费。</w:t>
      </w:r>
      <w:bookmarkStart w:id="2" w:name="_Hlk133510416"/>
      <w:r w:rsidR="00F519D6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如确有实际工作的需要，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对讲座专家进行咨询的，</w:t>
      </w:r>
      <w:r w:rsidR="004573F9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国内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专家</w:t>
      </w:r>
      <w:r w:rsidR="004573F9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（含港澳台地区）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需为正高职称以上知名学者，</w:t>
      </w:r>
      <w:r w:rsidR="004573F9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国外专家需为知名院校副教授及以上，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并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在OA上提交申请，说明咨询的必要性和</w:t>
      </w:r>
      <w:r w:rsidR="00CB3BF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具体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内容，经</w:t>
      </w:r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分管</w:t>
      </w:r>
      <w:proofErr w:type="gramStart"/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科研副</w:t>
      </w:r>
      <w:proofErr w:type="gramEnd"/>
      <w:r w:rsidR="00C2175C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院长及经费一支笔</w:t>
      </w:r>
      <w:r w:rsidR="00097B70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审批，</w:t>
      </w:r>
      <w:r w:rsidR="00F519D6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方能发放专家咨询费。</w:t>
      </w:r>
      <w:bookmarkEnd w:id="2"/>
    </w:p>
    <w:p w:rsidR="00AF20B1" w:rsidRPr="00A344AA" w:rsidRDefault="00AF20B1" w:rsidP="0073004E">
      <w:pPr>
        <w:spacing w:line="560" w:lineRule="exact"/>
        <w:ind w:firstLine="20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第十</w:t>
      </w:r>
      <w:r w:rsidR="006622AB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二</w:t>
      </w:r>
      <w:r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条</w:t>
      </w:r>
      <w:r w:rsidR="00C31F1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本办法自印发之日起施行。项目拨款单位有关规定与本办法不一致的，以拨款单位有关规定为准。</w:t>
      </w:r>
    </w:p>
    <w:p w:rsidR="00AF20B1" w:rsidRPr="00A344AA" w:rsidRDefault="00C31F15" w:rsidP="0073004E">
      <w:pPr>
        <w:spacing w:line="560" w:lineRule="exact"/>
        <w:ind w:firstLine="20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344AA">
        <w:rPr>
          <w:rFonts w:ascii="仿宋_GB2312" w:eastAsia="仿宋_GB2312" w:hint="eastAsia"/>
          <w:b/>
          <w:sz w:val="32"/>
          <w:szCs w:val="32"/>
        </w:rPr>
        <w:t>第十</w:t>
      </w:r>
      <w:r w:rsidR="00780590" w:rsidRPr="00A344AA">
        <w:rPr>
          <w:rFonts w:ascii="仿宋_GB2312" w:eastAsia="仿宋_GB2312" w:hint="eastAsia"/>
          <w:b/>
          <w:sz w:val="32"/>
          <w:szCs w:val="32"/>
        </w:rPr>
        <w:t>三</w:t>
      </w:r>
      <w:r w:rsidR="00AF20B1" w:rsidRPr="00A344AA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条</w:t>
      </w:r>
      <w:r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433055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本办法由院</w:t>
      </w:r>
      <w:r w:rsidR="0073004E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党政联席会</w:t>
      </w:r>
      <w:r w:rsidR="00AF20B1" w:rsidRPr="00A344AA">
        <w:rPr>
          <w:rFonts w:ascii="仿宋_GB2312" w:eastAsia="仿宋_GB2312" w:hAnsiTheme="minorEastAsia" w:cs="宋体" w:hint="eastAsia"/>
          <w:kern w:val="0"/>
          <w:sz w:val="32"/>
          <w:szCs w:val="32"/>
        </w:rPr>
        <w:t>负责解释。</w:t>
      </w:r>
    </w:p>
    <w:bookmarkEnd w:id="1"/>
    <w:p w:rsidR="00780590" w:rsidRDefault="00780590">
      <w:pPr>
        <w:widowControl/>
        <w:jc w:val="left"/>
      </w:pPr>
      <w:r>
        <w:br w:type="page"/>
      </w:r>
    </w:p>
    <w:p w:rsidR="00780590" w:rsidRDefault="00780590">
      <w:pPr>
        <w:widowControl/>
        <w:jc w:val="left"/>
        <w:sectPr w:rsidR="00780590" w:rsidSect="00FB59CC">
          <w:headerReference w:type="default" r:id="rId8"/>
          <w:footerReference w:type="default" r:id="rId9"/>
          <w:pgSz w:w="11906" w:h="16838"/>
          <w:pgMar w:top="1304" w:right="1531" w:bottom="1304" w:left="1531" w:header="851" w:footer="850" w:gutter="0"/>
          <w:cols w:space="425"/>
          <w:titlePg/>
          <w:docGrid w:type="lines" w:linePitch="312"/>
        </w:sectPr>
      </w:pPr>
    </w:p>
    <w:p w:rsidR="00780590" w:rsidRPr="00780590" w:rsidRDefault="00780590" w:rsidP="00780590">
      <w:pPr>
        <w:tabs>
          <w:tab w:val="center" w:pos="6979"/>
        </w:tabs>
        <w:rPr>
          <w:rFonts w:ascii="黑体" w:eastAsia="黑体" w:hAnsi="黑体" w:cs="Times New Roman"/>
          <w:b/>
          <w:sz w:val="32"/>
          <w:szCs w:val="30"/>
        </w:rPr>
      </w:pPr>
      <w:r>
        <w:rPr>
          <w:rFonts w:ascii="黑体" w:eastAsia="黑体" w:hAnsi="黑体" w:cs="Times New Roman" w:hint="eastAsia"/>
          <w:b/>
          <w:sz w:val="32"/>
          <w:szCs w:val="30"/>
        </w:rPr>
        <w:lastRenderedPageBreak/>
        <w:t>附件：</w:t>
      </w:r>
      <w:r>
        <w:rPr>
          <w:rFonts w:ascii="黑体" w:eastAsia="黑体" w:hAnsi="黑体" w:cs="Times New Roman"/>
          <w:b/>
          <w:sz w:val="32"/>
          <w:szCs w:val="30"/>
        </w:rPr>
        <w:tab/>
      </w:r>
      <w:r w:rsidRPr="001F22A3">
        <w:rPr>
          <w:rFonts w:ascii="黑体" w:eastAsia="黑体" w:hAnsi="黑体" w:cs="Times New Roman" w:hint="eastAsia"/>
          <w:b/>
          <w:sz w:val="32"/>
          <w:szCs w:val="30"/>
        </w:rPr>
        <w:t>专家咨询费发放情况表</w:t>
      </w:r>
    </w:p>
    <w:tbl>
      <w:tblPr>
        <w:tblStyle w:val="1"/>
        <w:tblW w:w="14201" w:type="dxa"/>
        <w:jc w:val="center"/>
        <w:tblLook w:val="04A0" w:firstRow="1" w:lastRow="0" w:firstColumn="1" w:lastColumn="0" w:noHBand="0" w:noVBand="1"/>
      </w:tblPr>
      <w:tblGrid>
        <w:gridCol w:w="1289"/>
        <w:gridCol w:w="1559"/>
        <w:gridCol w:w="1883"/>
        <w:gridCol w:w="3215"/>
        <w:gridCol w:w="1671"/>
        <w:gridCol w:w="428"/>
        <w:gridCol w:w="4156"/>
      </w:tblGrid>
      <w:tr w:rsidR="00780590" w:rsidRPr="001F22A3" w:rsidTr="008A2A67">
        <w:trPr>
          <w:trHeight w:val="51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咨询形式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□会议  □现场咨询  □通讯</w:t>
            </w:r>
          </w:p>
        </w:tc>
      </w:tr>
      <w:tr w:rsidR="00780590" w:rsidRPr="001F22A3" w:rsidTr="008A2A67">
        <w:trPr>
          <w:trHeight w:val="56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咨询时间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8A2A67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年   月  日  ——年  月   日，共     天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咨询地点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0590" w:rsidRPr="001F22A3" w:rsidTr="00780590">
        <w:trPr>
          <w:trHeight w:val="462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咨询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成果小结（300字</w:t>
            </w:r>
            <w:r w:rsidR="0095336B">
              <w:rPr>
                <w:rFonts w:ascii="仿宋_GB2312" w:eastAsia="仿宋_GB2312" w:hAnsi="宋体" w:hint="eastAsia"/>
                <w:sz w:val="24"/>
                <w:szCs w:val="24"/>
              </w:rPr>
              <w:t>左右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4614B8" w:rsidRDefault="00780590" w:rsidP="00780590">
            <w:pPr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0590" w:rsidRPr="001F22A3" w:rsidTr="008A2A67">
        <w:trPr>
          <w:trHeight w:val="41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发放情况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EB267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EB267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发放金额（元）（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税后</w:t>
            </w: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780590" w:rsidRPr="001F22A3" w:rsidTr="008A2A67">
        <w:trPr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0" w:rsidRPr="001F22A3" w:rsidRDefault="00780590" w:rsidP="00780590">
            <w:pPr>
              <w:widowControl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0590" w:rsidRPr="001F22A3" w:rsidTr="00780590">
        <w:trPr>
          <w:trHeight w:val="589"/>
          <w:jc w:val="center"/>
        </w:trPr>
        <w:tc>
          <w:tcPr>
            <w:tcW w:w="1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90" w:rsidRPr="001F22A3" w:rsidRDefault="00780590" w:rsidP="0078059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经费</w:t>
            </w: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 xml:space="preserve">负责人（签字）：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</w:t>
            </w: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 xml:space="preserve">经办人（签字）：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 w:rsidRPr="001F22A3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780590" w:rsidRDefault="00780590">
      <w:pPr>
        <w:sectPr w:rsidR="00780590" w:rsidSect="007805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80590" w:rsidRDefault="00780590" w:rsidP="00780590">
      <w:pPr>
        <w:jc w:val="left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cs="Times New Roman" w:hint="eastAsia"/>
          <w:b/>
          <w:sz w:val="32"/>
          <w:szCs w:val="30"/>
        </w:rPr>
        <w:lastRenderedPageBreak/>
        <w:t xml:space="preserve">附件：        </w:t>
      </w:r>
      <w:r>
        <w:rPr>
          <w:rFonts w:ascii="黑体" w:eastAsia="黑体" w:hAnsi="黑体" w:hint="eastAsia"/>
          <w:b/>
          <w:sz w:val="32"/>
          <w:szCs w:val="30"/>
        </w:rPr>
        <w:t>台湾研究口述历史访谈合同</w:t>
      </w:r>
    </w:p>
    <w:p w:rsidR="00780590" w:rsidRDefault="00780590" w:rsidP="00780590"/>
    <w:p w:rsidR="00780590" w:rsidRDefault="00780590" w:rsidP="0078059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        方：</w:t>
      </w:r>
    </w:p>
    <w:p w:rsidR="00780590" w:rsidRDefault="00780590" w:rsidP="001E0BE0">
      <w:pPr>
        <w:spacing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单位 及 职称：厦门大学台湾研究院</w:t>
      </w:r>
    </w:p>
    <w:p w:rsidR="00780590" w:rsidRPr="00780590" w:rsidRDefault="00780590" w:rsidP="001E0BE0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</w:p>
    <w:p w:rsidR="00780590" w:rsidRDefault="00780590" w:rsidP="0078059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        方：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780590" w:rsidRDefault="00780590" w:rsidP="0078059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单位 及 职称：</w:t>
      </w:r>
    </w:p>
    <w:p w:rsidR="00780590" w:rsidRDefault="00780590" w:rsidP="00780590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学术专长简介：</w:t>
      </w:r>
    </w:p>
    <w:p w:rsidR="00780590" w:rsidRDefault="00780590" w:rsidP="001E0BE0">
      <w:pPr>
        <w:spacing w:beforeLines="100" w:before="312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根据课题的研究需要及乙方所具备的条件，甲方就台湾研究口述历史项目相关内容对乙方进行访谈。根据《中华人民共和国合同法》等有关规定，经甲乙双方经友好协商，达成如下协议，并由双方共同恪守。</w:t>
      </w:r>
    </w:p>
    <w:p w:rsidR="00780590" w:rsidRDefault="00780590" w:rsidP="001E0BE0">
      <w:pPr>
        <w:spacing w:beforeLines="100" w:before="31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第一条  访谈内容</w:t>
      </w:r>
    </w:p>
    <w:p w:rsidR="00780590" w:rsidRPr="00780590" w:rsidRDefault="00780590" w:rsidP="001E0BE0">
      <w:pPr>
        <w:spacing w:beforeLines="100" w:before="31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C268BA"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 w:rsidRPr="0078059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</w:t>
      </w:r>
      <w:r w:rsidRPr="00780590">
        <w:rPr>
          <w:rFonts w:ascii="宋体" w:eastAsia="宋体" w:hAnsi="宋体" w:hint="eastAsia"/>
          <w:sz w:val="24"/>
          <w:szCs w:val="24"/>
        </w:rPr>
        <w:t xml:space="preserve">   </w:t>
      </w:r>
    </w:p>
    <w:p w:rsidR="00780590" w:rsidRDefault="00780590" w:rsidP="001E0BE0">
      <w:pPr>
        <w:spacing w:beforeLines="100" w:before="31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第二条  权利义务</w:t>
      </w:r>
    </w:p>
    <w:p w:rsidR="00780590" w:rsidRDefault="00780590" w:rsidP="001E0BE0">
      <w:pPr>
        <w:spacing w:beforeLines="100" w:before="31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1.甲方根据口述历史项目需要对乙方进行访谈，并及时支付乙方访谈费用。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2.乙方根据自身经历，对甲方的访谈进行回答，并获得相应酬劳。</w:t>
      </w:r>
    </w:p>
    <w:p w:rsidR="00780590" w:rsidRDefault="00780590" w:rsidP="001E0BE0">
      <w:pPr>
        <w:spacing w:beforeLines="100" w:before="312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第三条  访谈方式、成果形式、期限及费用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1.访谈方式：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当面访谈  天，通讯访谈  次   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                                   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2.成果形式：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由甲方形成口述历史访谈报告                                                     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3.访谈时段：</w:t>
      </w:r>
      <w:r w:rsidRPr="00780590">
        <w:rPr>
          <w:rFonts w:ascii="宋体" w:eastAsia="宋体" w:hAnsi="宋体" w:hint="eastAsia"/>
          <w:sz w:val="24"/>
          <w:szCs w:val="24"/>
          <w:u w:val="single"/>
        </w:rPr>
        <w:t xml:space="preserve">   年 月 日-  月 日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（当面访谈），通讯访谈时间由后续报告写作需要确定 </w:t>
      </w:r>
      <w:r>
        <w:rPr>
          <w:rFonts w:ascii="宋体" w:eastAsia="宋体" w:hAnsi="宋体" w:hint="eastAsia"/>
          <w:sz w:val="24"/>
          <w:szCs w:val="24"/>
        </w:rPr>
        <w:t>，报告完成，本合同自行终止。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4.访谈费用：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按照税前      发放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590" w:rsidRDefault="00780590" w:rsidP="001E0BE0">
      <w:pPr>
        <w:spacing w:beforeLines="100" w:before="31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第四条  违约责任及争议解决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1.甲方或乙方因违反协议给对方造成实际损失的，应给予赔偿。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2.在本合同执行期间，如果双方出现争议，</w:t>
      </w:r>
      <w:r>
        <w:rPr>
          <w:rFonts w:hint="eastAsia"/>
          <w:sz w:val="24"/>
        </w:rPr>
        <w:t>应通过协商的方式解决。</w:t>
      </w:r>
    </w:p>
    <w:p w:rsidR="00780590" w:rsidRDefault="00780590" w:rsidP="001E0BE0">
      <w:pPr>
        <w:spacing w:beforeLines="100" w:before="31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第五条  其他事项</w:t>
      </w:r>
    </w:p>
    <w:p w:rsidR="00780590" w:rsidRDefault="00780590" w:rsidP="001E0BE0">
      <w:pPr>
        <w:spacing w:beforeLines="100" w:before="312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1.本协议一式两份，双方各执一份，具有同等效力，经甲乙方签章生效。</w:t>
      </w:r>
    </w:p>
    <w:p w:rsidR="00780590" w:rsidRDefault="00780590" w:rsidP="001E0BE0">
      <w:pPr>
        <w:spacing w:beforeLines="100" w:before="312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2.非关联声明：甲方及其利害关系人与乙方及其利害关系人之间，不存在投资控股关系，也不存在其他直接经济利益等关系（如直系亲属、配偶）。</w:t>
      </w:r>
    </w:p>
    <w:p w:rsidR="00780590" w:rsidRDefault="00780590" w:rsidP="001E0BE0">
      <w:pPr>
        <w:spacing w:beforeLines="100" w:before="312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3.为配合甲方支付访谈费用，乙方需提供如下材料：</w:t>
      </w:r>
    </w:p>
    <w:p w:rsidR="00780590" w:rsidRDefault="00780590" w:rsidP="001E0BE0">
      <w:pPr>
        <w:spacing w:beforeLines="100" w:before="312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（1）身份证复印件；</w:t>
      </w:r>
    </w:p>
    <w:p w:rsidR="00780590" w:rsidRDefault="00780590" w:rsidP="001E0BE0">
      <w:pPr>
        <w:spacing w:beforeLines="100" w:before="312" w:afterLines="50" w:after="156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（2）开 户 行：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</w:t>
      </w:r>
    </w:p>
    <w:p w:rsidR="00780590" w:rsidRDefault="00780590" w:rsidP="001E0BE0">
      <w:pPr>
        <w:spacing w:afterLines="50" w:after="156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开户银行：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</w:t>
      </w:r>
    </w:p>
    <w:p w:rsidR="00780590" w:rsidRDefault="00780590" w:rsidP="001E0BE0">
      <w:pPr>
        <w:spacing w:afterLines="50" w:after="156"/>
        <w:ind w:leftChars="456" w:left="95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proofErr w:type="gramStart"/>
      <w:r>
        <w:rPr>
          <w:rFonts w:ascii="宋体" w:eastAsia="宋体" w:hAnsi="宋体" w:hint="eastAsia"/>
          <w:sz w:val="24"/>
          <w:szCs w:val="24"/>
        </w:rPr>
        <w:t>账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</w:t>
      </w:r>
    </w:p>
    <w:p w:rsidR="00780590" w:rsidRDefault="00780590" w:rsidP="001E0BE0">
      <w:pPr>
        <w:spacing w:beforeLines="100" w:before="312"/>
        <w:rPr>
          <w:rFonts w:ascii="宋体" w:eastAsia="宋体" w:hAnsi="宋体"/>
          <w:sz w:val="24"/>
          <w:szCs w:val="24"/>
        </w:rPr>
      </w:pPr>
    </w:p>
    <w:p w:rsidR="00780590" w:rsidRDefault="00780590" w:rsidP="001E0BE0">
      <w:pPr>
        <w:spacing w:beforeLines="100" w:before="312"/>
        <w:ind w:firstLine="40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甲方（签字）：                               乙方（签字）：</w:t>
      </w:r>
    </w:p>
    <w:p w:rsidR="00780590" w:rsidRDefault="00780590" w:rsidP="001E0BE0">
      <w:pPr>
        <w:spacing w:beforeLines="100" w:before="312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  月   日                                     年   月   日</w:t>
      </w:r>
    </w:p>
    <w:p w:rsidR="00EB357E" w:rsidRPr="00780590" w:rsidRDefault="00EB357E"/>
    <w:sectPr w:rsidR="00EB357E" w:rsidRPr="00780590" w:rsidSect="004D773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2AA" w:rsidRDefault="00D242AA" w:rsidP="00AF20B1">
      <w:r>
        <w:separator/>
      </w:r>
    </w:p>
  </w:endnote>
  <w:endnote w:type="continuationSeparator" w:id="0">
    <w:p w:rsidR="00D242AA" w:rsidRDefault="00D242AA" w:rsidP="00A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5C" w:rsidRPr="007A2B5C" w:rsidRDefault="00D242AA" w:rsidP="007A2B5C">
    <w:pPr>
      <w:pStyle w:val="a5"/>
      <w:ind w:left="720"/>
      <w:jc w:val="center"/>
      <w:rPr>
        <w:rFonts w:asciiTheme="minorEastAsia" w:hAnsiTheme="minorEastAsia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1491909118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C2175C" w:rsidRPr="007A2B5C">
          <w:rPr>
            <w:rFonts w:asciiTheme="minorEastAsia" w:hAnsiTheme="minorEastAsia"/>
            <w:sz w:val="28"/>
            <w:szCs w:val="28"/>
          </w:rPr>
          <w:fldChar w:fldCharType="begin"/>
        </w:r>
        <w:r w:rsidR="00C2175C" w:rsidRPr="007A2B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C2175C" w:rsidRPr="007A2B5C">
          <w:rPr>
            <w:rFonts w:asciiTheme="minorEastAsia" w:hAnsiTheme="minorEastAsia"/>
            <w:sz w:val="28"/>
            <w:szCs w:val="28"/>
          </w:rPr>
          <w:fldChar w:fldCharType="separate"/>
        </w:r>
        <w:r w:rsidR="00C2175C" w:rsidRPr="007A2B5C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="00C2175C" w:rsidRPr="007A2B5C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C2175C" w:rsidRDefault="00C217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74" w:rsidRDefault="00B213AA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C00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374" w:rsidRDefault="00D242A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819735"/>
      <w:docPartObj>
        <w:docPartGallery w:val="Page Numbers (Bottom of Page)"/>
        <w:docPartUnique/>
      </w:docPartObj>
    </w:sdtPr>
    <w:sdtEndPr/>
    <w:sdtContent>
      <w:p w:rsidR="00DF485D" w:rsidRDefault="00DF485D">
        <w:pPr>
          <w:pStyle w:val="a5"/>
          <w:jc w:val="center"/>
        </w:pPr>
        <w:r w:rsidRPr="007A2B5C">
          <w:rPr>
            <w:rFonts w:asciiTheme="majorEastAsia" w:eastAsiaTheme="majorEastAsia" w:hAnsiTheme="majorEastAsia"/>
            <w:sz w:val="28"/>
          </w:rPr>
          <w:fldChar w:fldCharType="begin"/>
        </w:r>
        <w:r w:rsidRPr="007A2B5C">
          <w:rPr>
            <w:rFonts w:asciiTheme="majorEastAsia" w:eastAsiaTheme="majorEastAsia" w:hAnsiTheme="majorEastAsia"/>
            <w:sz w:val="28"/>
          </w:rPr>
          <w:instrText>PAGE   \* MERGEFORMAT</w:instrText>
        </w:r>
        <w:r w:rsidRPr="007A2B5C">
          <w:rPr>
            <w:rFonts w:asciiTheme="majorEastAsia" w:eastAsiaTheme="majorEastAsia" w:hAnsiTheme="majorEastAsia"/>
            <w:sz w:val="28"/>
          </w:rPr>
          <w:fldChar w:fldCharType="separate"/>
        </w:r>
        <w:r w:rsidRPr="007A2B5C">
          <w:rPr>
            <w:rFonts w:asciiTheme="majorEastAsia" w:eastAsiaTheme="majorEastAsia" w:hAnsiTheme="majorEastAsia"/>
            <w:sz w:val="28"/>
            <w:lang w:val="zh-CN"/>
          </w:rPr>
          <w:t>2</w:t>
        </w:r>
        <w:r w:rsidRPr="007A2B5C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  <w:p w:rsidR="00D57374" w:rsidRDefault="00D242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2AA" w:rsidRDefault="00D242AA" w:rsidP="00AF20B1">
      <w:r>
        <w:separator/>
      </w:r>
    </w:p>
  </w:footnote>
  <w:footnote w:type="continuationSeparator" w:id="0">
    <w:p w:rsidR="00D242AA" w:rsidRDefault="00D242AA" w:rsidP="00AF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B1" w:rsidRDefault="00AF20B1" w:rsidP="003A3B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051"/>
    <w:multiLevelType w:val="hybridMultilevel"/>
    <w:tmpl w:val="22D2234C"/>
    <w:lvl w:ilvl="0" w:tplc="1202422C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8177E09"/>
    <w:multiLevelType w:val="hybridMultilevel"/>
    <w:tmpl w:val="87B25C66"/>
    <w:lvl w:ilvl="0" w:tplc="1786D666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C38CB"/>
    <w:multiLevelType w:val="hybridMultilevel"/>
    <w:tmpl w:val="4F90CBFC"/>
    <w:lvl w:ilvl="0" w:tplc="5B1A740C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504985"/>
    <w:multiLevelType w:val="hybridMultilevel"/>
    <w:tmpl w:val="C2CA7C1C"/>
    <w:lvl w:ilvl="0" w:tplc="3D288474">
      <w:start w:val="1"/>
      <w:numFmt w:val="japaneseCounting"/>
      <w:lvlText w:val="第%1条"/>
      <w:lvlJc w:val="left"/>
      <w:pPr>
        <w:ind w:left="212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83"/>
    <w:rsid w:val="00001E79"/>
    <w:rsid w:val="000021BD"/>
    <w:rsid w:val="00012198"/>
    <w:rsid w:val="00017056"/>
    <w:rsid w:val="00021FA7"/>
    <w:rsid w:val="000309E7"/>
    <w:rsid w:val="00034F47"/>
    <w:rsid w:val="00046A7D"/>
    <w:rsid w:val="00050032"/>
    <w:rsid w:val="0005009F"/>
    <w:rsid w:val="00056636"/>
    <w:rsid w:val="00064586"/>
    <w:rsid w:val="00065964"/>
    <w:rsid w:val="00087165"/>
    <w:rsid w:val="00097B70"/>
    <w:rsid w:val="000A0D97"/>
    <w:rsid w:val="000A1226"/>
    <w:rsid w:val="000C375C"/>
    <w:rsid w:val="000D6B54"/>
    <w:rsid w:val="000D70DB"/>
    <w:rsid w:val="000E07C2"/>
    <w:rsid w:val="000E23F1"/>
    <w:rsid w:val="000E42CD"/>
    <w:rsid w:val="000E4E36"/>
    <w:rsid w:val="000F47D0"/>
    <w:rsid w:val="00135AF9"/>
    <w:rsid w:val="001434C5"/>
    <w:rsid w:val="00151273"/>
    <w:rsid w:val="0015569B"/>
    <w:rsid w:val="0016235C"/>
    <w:rsid w:val="00180A79"/>
    <w:rsid w:val="00186E0C"/>
    <w:rsid w:val="001B075B"/>
    <w:rsid w:val="001B1A17"/>
    <w:rsid w:val="001C16DA"/>
    <w:rsid w:val="001C3A15"/>
    <w:rsid w:val="001D1416"/>
    <w:rsid w:val="001D47CE"/>
    <w:rsid w:val="001D704B"/>
    <w:rsid w:val="001E0BE0"/>
    <w:rsid w:val="001F3C0E"/>
    <w:rsid w:val="001F4437"/>
    <w:rsid w:val="001F5E4C"/>
    <w:rsid w:val="0020481E"/>
    <w:rsid w:val="0020798C"/>
    <w:rsid w:val="00207F79"/>
    <w:rsid w:val="002160F9"/>
    <w:rsid w:val="002165E9"/>
    <w:rsid w:val="002213FE"/>
    <w:rsid w:val="002217E5"/>
    <w:rsid w:val="00230825"/>
    <w:rsid w:val="00242CDC"/>
    <w:rsid w:val="00242E97"/>
    <w:rsid w:val="00246C83"/>
    <w:rsid w:val="00263FF1"/>
    <w:rsid w:val="00272DE4"/>
    <w:rsid w:val="0028424C"/>
    <w:rsid w:val="00285C2A"/>
    <w:rsid w:val="00297402"/>
    <w:rsid w:val="002A5531"/>
    <w:rsid w:val="002A58B6"/>
    <w:rsid w:val="002A5F53"/>
    <w:rsid w:val="002B0B05"/>
    <w:rsid w:val="002C7EC2"/>
    <w:rsid w:val="002F399E"/>
    <w:rsid w:val="002F3C74"/>
    <w:rsid w:val="00304230"/>
    <w:rsid w:val="003063D7"/>
    <w:rsid w:val="0030773D"/>
    <w:rsid w:val="00310E73"/>
    <w:rsid w:val="00313441"/>
    <w:rsid w:val="003243B3"/>
    <w:rsid w:val="00343521"/>
    <w:rsid w:val="003435A1"/>
    <w:rsid w:val="003453AE"/>
    <w:rsid w:val="003651F8"/>
    <w:rsid w:val="00365319"/>
    <w:rsid w:val="00367DCA"/>
    <w:rsid w:val="0037612F"/>
    <w:rsid w:val="003860E7"/>
    <w:rsid w:val="00391E60"/>
    <w:rsid w:val="003922DE"/>
    <w:rsid w:val="003930A2"/>
    <w:rsid w:val="003A3B4B"/>
    <w:rsid w:val="003B0EEC"/>
    <w:rsid w:val="003C00DD"/>
    <w:rsid w:val="003E2DB4"/>
    <w:rsid w:val="003E71EE"/>
    <w:rsid w:val="003F263C"/>
    <w:rsid w:val="004072F5"/>
    <w:rsid w:val="00412B48"/>
    <w:rsid w:val="0041341A"/>
    <w:rsid w:val="00427446"/>
    <w:rsid w:val="0043087E"/>
    <w:rsid w:val="00433055"/>
    <w:rsid w:val="00447217"/>
    <w:rsid w:val="004573F9"/>
    <w:rsid w:val="0046110A"/>
    <w:rsid w:val="00462E8F"/>
    <w:rsid w:val="0047239E"/>
    <w:rsid w:val="00472FA1"/>
    <w:rsid w:val="00474509"/>
    <w:rsid w:val="00475FE2"/>
    <w:rsid w:val="004763BD"/>
    <w:rsid w:val="00483B1B"/>
    <w:rsid w:val="004932EB"/>
    <w:rsid w:val="004A3C7C"/>
    <w:rsid w:val="004A75BC"/>
    <w:rsid w:val="004B4300"/>
    <w:rsid w:val="004B72DA"/>
    <w:rsid w:val="004C0093"/>
    <w:rsid w:val="004C54FF"/>
    <w:rsid w:val="004D4E69"/>
    <w:rsid w:val="004E0243"/>
    <w:rsid w:val="004E2602"/>
    <w:rsid w:val="004F52AA"/>
    <w:rsid w:val="00513AD4"/>
    <w:rsid w:val="00513B8E"/>
    <w:rsid w:val="0051514E"/>
    <w:rsid w:val="005333AD"/>
    <w:rsid w:val="00541808"/>
    <w:rsid w:val="005456F3"/>
    <w:rsid w:val="00546E5A"/>
    <w:rsid w:val="005534E8"/>
    <w:rsid w:val="00554790"/>
    <w:rsid w:val="00557B4A"/>
    <w:rsid w:val="00565DD2"/>
    <w:rsid w:val="0056662C"/>
    <w:rsid w:val="0057770F"/>
    <w:rsid w:val="00586504"/>
    <w:rsid w:val="00586F99"/>
    <w:rsid w:val="005910D0"/>
    <w:rsid w:val="00597402"/>
    <w:rsid w:val="00597B9B"/>
    <w:rsid w:val="005B43DA"/>
    <w:rsid w:val="005B6863"/>
    <w:rsid w:val="005B7877"/>
    <w:rsid w:val="005D7C0B"/>
    <w:rsid w:val="005F5C62"/>
    <w:rsid w:val="005F6A3D"/>
    <w:rsid w:val="00604741"/>
    <w:rsid w:val="00610FB2"/>
    <w:rsid w:val="00624693"/>
    <w:rsid w:val="00624DAD"/>
    <w:rsid w:val="0063351F"/>
    <w:rsid w:val="00637365"/>
    <w:rsid w:val="00647DA0"/>
    <w:rsid w:val="00654342"/>
    <w:rsid w:val="00661CB6"/>
    <w:rsid w:val="006622AB"/>
    <w:rsid w:val="00662524"/>
    <w:rsid w:val="00663B91"/>
    <w:rsid w:val="00676D67"/>
    <w:rsid w:val="006820DD"/>
    <w:rsid w:val="00684C3F"/>
    <w:rsid w:val="00693FB8"/>
    <w:rsid w:val="00697F23"/>
    <w:rsid w:val="006C1696"/>
    <w:rsid w:val="006D2034"/>
    <w:rsid w:val="006E1511"/>
    <w:rsid w:val="006E7B45"/>
    <w:rsid w:val="00707A48"/>
    <w:rsid w:val="0071166B"/>
    <w:rsid w:val="007161B7"/>
    <w:rsid w:val="007174BC"/>
    <w:rsid w:val="00723E2D"/>
    <w:rsid w:val="0073004E"/>
    <w:rsid w:val="00734811"/>
    <w:rsid w:val="00737291"/>
    <w:rsid w:val="007376F8"/>
    <w:rsid w:val="00746CA3"/>
    <w:rsid w:val="007502A1"/>
    <w:rsid w:val="0075329A"/>
    <w:rsid w:val="00753F44"/>
    <w:rsid w:val="007610FA"/>
    <w:rsid w:val="007663F3"/>
    <w:rsid w:val="007707E2"/>
    <w:rsid w:val="00780590"/>
    <w:rsid w:val="007828AD"/>
    <w:rsid w:val="00783779"/>
    <w:rsid w:val="00783FA3"/>
    <w:rsid w:val="007A2B5C"/>
    <w:rsid w:val="007B3F29"/>
    <w:rsid w:val="007B439B"/>
    <w:rsid w:val="007C2BCA"/>
    <w:rsid w:val="007D7BA7"/>
    <w:rsid w:val="007E2C95"/>
    <w:rsid w:val="007E3F2B"/>
    <w:rsid w:val="007F07EA"/>
    <w:rsid w:val="007F0D1E"/>
    <w:rsid w:val="007F22DD"/>
    <w:rsid w:val="007F59B8"/>
    <w:rsid w:val="00822810"/>
    <w:rsid w:val="00826ED6"/>
    <w:rsid w:val="00830747"/>
    <w:rsid w:val="00845911"/>
    <w:rsid w:val="00855B9B"/>
    <w:rsid w:val="00855C2A"/>
    <w:rsid w:val="0087340D"/>
    <w:rsid w:val="0088124E"/>
    <w:rsid w:val="00886C87"/>
    <w:rsid w:val="00887924"/>
    <w:rsid w:val="00892091"/>
    <w:rsid w:val="00893FCF"/>
    <w:rsid w:val="00895CD4"/>
    <w:rsid w:val="00897540"/>
    <w:rsid w:val="008A0F4F"/>
    <w:rsid w:val="008A1EB3"/>
    <w:rsid w:val="008A6C26"/>
    <w:rsid w:val="008A6F9F"/>
    <w:rsid w:val="008B1622"/>
    <w:rsid w:val="008B3612"/>
    <w:rsid w:val="008B5054"/>
    <w:rsid w:val="008B77A8"/>
    <w:rsid w:val="008C19A5"/>
    <w:rsid w:val="008C4DD0"/>
    <w:rsid w:val="008C5DA4"/>
    <w:rsid w:val="008D0889"/>
    <w:rsid w:val="008D7B26"/>
    <w:rsid w:val="008E0537"/>
    <w:rsid w:val="008F29C0"/>
    <w:rsid w:val="008F2FD4"/>
    <w:rsid w:val="008F3085"/>
    <w:rsid w:val="0090602B"/>
    <w:rsid w:val="00906476"/>
    <w:rsid w:val="00915723"/>
    <w:rsid w:val="009169F7"/>
    <w:rsid w:val="00917904"/>
    <w:rsid w:val="00922DEB"/>
    <w:rsid w:val="00923BCE"/>
    <w:rsid w:val="00944791"/>
    <w:rsid w:val="009466B4"/>
    <w:rsid w:val="009467E9"/>
    <w:rsid w:val="00951711"/>
    <w:rsid w:val="0095336B"/>
    <w:rsid w:val="0096513A"/>
    <w:rsid w:val="009974F0"/>
    <w:rsid w:val="009A4527"/>
    <w:rsid w:val="009B0649"/>
    <w:rsid w:val="009C43C6"/>
    <w:rsid w:val="009C5C56"/>
    <w:rsid w:val="009C6BBF"/>
    <w:rsid w:val="009D1107"/>
    <w:rsid w:val="009D206A"/>
    <w:rsid w:val="009E55F8"/>
    <w:rsid w:val="009E5B32"/>
    <w:rsid w:val="009F0B2F"/>
    <w:rsid w:val="00A244EC"/>
    <w:rsid w:val="00A344AA"/>
    <w:rsid w:val="00A4383B"/>
    <w:rsid w:val="00A5245D"/>
    <w:rsid w:val="00A54783"/>
    <w:rsid w:val="00A575A6"/>
    <w:rsid w:val="00A622C4"/>
    <w:rsid w:val="00A7543C"/>
    <w:rsid w:val="00A828C4"/>
    <w:rsid w:val="00A92893"/>
    <w:rsid w:val="00A92CB3"/>
    <w:rsid w:val="00A94F8D"/>
    <w:rsid w:val="00A95CA8"/>
    <w:rsid w:val="00AA16A2"/>
    <w:rsid w:val="00AA5783"/>
    <w:rsid w:val="00AB2312"/>
    <w:rsid w:val="00AB482A"/>
    <w:rsid w:val="00AB593B"/>
    <w:rsid w:val="00AC00CF"/>
    <w:rsid w:val="00AC303C"/>
    <w:rsid w:val="00AD3295"/>
    <w:rsid w:val="00AD3458"/>
    <w:rsid w:val="00AD4058"/>
    <w:rsid w:val="00AE68F0"/>
    <w:rsid w:val="00AF1A9C"/>
    <w:rsid w:val="00AF20B1"/>
    <w:rsid w:val="00B05D24"/>
    <w:rsid w:val="00B11BA9"/>
    <w:rsid w:val="00B213AA"/>
    <w:rsid w:val="00B2402E"/>
    <w:rsid w:val="00B2635C"/>
    <w:rsid w:val="00B30141"/>
    <w:rsid w:val="00B317D4"/>
    <w:rsid w:val="00B36034"/>
    <w:rsid w:val="00B472D4"/>
    <w:rsid w:val="00B614FF"/>
    <w:rsid w:val="00B6409E"/>
    <w:rsid w:val="00B657A7"/>
    <w:rsid w:val="00B66BDF"/>
    <w:rsid w:val="00B708BE"/>
    <w:rsid w:val="00B72AFB"/>
    <w:rsid w:val="00B72F1C"/>
    <w:rsid w:val="00B80EC1"/>
    <w:rsid w:val="00B83675"/>
    <w:rsid w:val="00B85724"/>
    <w:rsid w:val="00B947EC"/>
    <w:rsid w:val="00BA5BC0"/>
    <w:rsid w:val="00BB1F2C"/>
    <w:rsid w:val="00BC3F9F"/>
    <w:rsid w:val="00BC59C5"/>
    <w:rsid w:val="00BD2D24"/>
    <w:rsid w:val="00BD57BE"/>
    <w:rsid w:val="00C14585"/>
    <w:rsid w:val="00C2175C"/>
    <w:rsid w:val="00C2342B"/>
    <w:rsid w:val="00C25FDC"/>
    <w:rsid w:val="00C27521"/>
    <w:rsid w:val="00C31F15"/>
    <w:rsid w:val="00C32C08"/>
    <w:rsid w:val="00C40D6A"/>
    <w:rsid w:val="00C47F98"/>
    <w:rsid w:val="00C5332D"/>
    <w:rsid w:val="00C600E2"/>
    <w:rsid w:val="00C610E3"/>
    <w:rsid w:val="00C66B5C"/>
    <w:rsid w:val="00C70D2A"/>
    <w:rsid w:val="00C87B2F"/>
    <w:rsid w:val="00C9493A"/>
    <w:rsid w:val="00C971DB"/>
    <w:rsid w:val="00CA1FFC"/>
    <w:rsid w:val="00CA4442"/>
    <w:rsid w:val="00CA4F9F"/>
    <w:rsid w:val="00CB3661"/>
    <w:rsid w:val="00CB3BF5"/>
    <w:rsid w:val="00CB48D8"/>
    <w:rsid w:val="00CC1992"/>
    <w:rsid w:val="00CC6057"/>
    <w:rsid w:val="00CD2DE9"/>
    <w:rsid w:val="00CD6A06"/>
    <w:rsid w:val="00CE0DF1"/>
    <w:rsid w:val="00CF6254"/>
    <w:rsid w:val="00D007EF"/>
    <w:rsid w:val="00D0229D"/>
    <w:rsid w:val="00D04BE7"/>
    <w:rsid w:val="00D0673E"/>
    <w:rsid w:val="00D1759D"/>
    <w:rsid w:val="00D242AA"/>
    <w:rsid w:val="00D401D4"/>
    <w:rsid w:val="00D538AF"/>
    <w:rsid w:val="00D54322"/>
    <w:rsid w:val="00D66010"/>
    <w:rsid w:val="00D67AD7"/>
    <w:rsid w:val="00D7184E"/>
    <w:rsid w:val="00D73A2C"/>
    <w:rsid w:val="00D8228C"/>
    <w:rsid w:val="00D82525"/>
    <w:rsid w:val="00D964CA"/>
    <w:rsid w:val="00DA03BB"/>
    <w:rsid w:val="00DA0944"/>
    <w:rsid w:val="00DA2B7C"/>
    <w:rsid w:val="00DB10CB"/>
    <w:rsid w:val="00DB27C8"/>
    <w:rsid w:val="00DC371C"/>
    <w:rsid w:val="00DD2F74"/>
    <w:rsid w:val="00DD4CB7"/>
    <w:rsid w:val="00DE3213"/>
    <w:rsid w:val="00DF485D"/>
    <w:rsid w:val="00DF7854"/>
    <w:rsid w:val="00E02127"/>
    <w:rsid w:val="00E130A4"/>
    <w:rsid w:val="00E26776"/>
    <w:rsid w:val="00E3056A"/>
    <w:rsid w:val="00E32C72"/>
    <w:rsid w:val="00E56CB1"/>
    <w:rsid w:val="00E61177"/>
    <w:rsid w:val="00E628F6"/>
    <w:rsid w:val="00E66D7C"/>
    <w:rsid w:val="00E7044D"/>
    <w:rsid w:val="00E94304"/>
    <w:rsid w:val="00E94FB1"/>
    <w:rsid w:val="00E967E2"/>
    <w:rsid w:val="00EB2670"/>
    <w:rsid w:val="00EB357E"/>
    <w:rsid w:val="00EB4A03"/>
    <w:rsid w:val="00EB4BDF"/>
    <w:rsid w:val="00EB79C7"/>
    <w:rsid w:val="00EC1948"/>
    <w:rsid w:val="00EC368B"/>
    <w:rsid w:val="00EC44CF"/>
    <w:rsid w:val="00EC66DD"/>
    <w:rsid w:val="00EC7A7F"/>
    <w:rsid w:val="00ED0FAA"/>
    <w:rsid w:val="00ED129E"/>
    <w:rsid w:val="00ED78B4"/>
    <w:rsid w:val="00EE0861"/>
    <w:rsid w:val="00F028C0"/>
    <w:rsid w:val="00F03FCD"/>
    <w:rsid w:val="00F340C2"/>
    <w:rsid w:val="00F340D6"/>
    <w:rsid w:val="00F46F87"/>
    <w:rsid w:val="00F519D6"/>
    <w:rsid w:val="00F605E7"/>
    <w:rsid w:val="00F667F4"/>
    <w:rsid w:val="00F67B57"/>
    <w:rsid w:val="00F67BD5"/>
    <w:rsid w:val="00F67D56"/>
    <w:rsid w:val="00F771D7"/>
    <w:rsid w:val="00F815E6"/>
    <w:rsid w:val="00F9212A"/>
    <w:rsid w:val="00FB34A6"/>
    <w:rsid w:val="00FB59CC"/>
    <w:rsid w:val="00FC5E60"/>
    <w:rsid w:val="00FD0553"/>
    <w:rsid w:val="00FD085C"/>
    <w:rsid w:val="00FE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8EE1F-ADB0-40F6-8158-59960A00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F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F20B1"/>
    <w:rPr>
      <w:sz w:val="18"/>
      <w:szCs w:val="18"/>
    </w:rPr>
  </w:style>
  <w:style w:type="paragraph" w:styleId="a7">
    <w:name w:val="List Paragraph"/>
    <w:basedOn w:val="a"/>
    <w:uiPriority w:val="34"/>
    <w:qFormat/>
    <w:rsid w:val="00AF20B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B43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39B"/>
    <w:rPr>
      <w:sz w:val="18"/>
      <w:szCs w:val="18"/>
    </w:rPr>
  </w:style>
  <w:style w:type="table" w:styleId="aa">
    <w:name w:val="Table Grid"/>
    <w:basedOn w:val="a1"/>
    <w:uiPriority w:val="59"/>
    <w:unhideWhenUsed/>
    <w:rsid w:val="00B9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qFormat/>
    <w:rsid w:val="007805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  <w:rsid w:val="0078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B293-15B8-4498-B6FA-079876F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吴美珍</dc:creator>
  <cp:lastModifiedBy>赖婷婷</cp:lastModifiedBy>
  <cp:revision>6</cp:revision>
  <cp:lastPrinted>2023-05-22T06:56:00Z</cp:lastPrinted>
  <dcterms:created xsi:type="dcterms:W3CDTF">2023-05-22T05:30:00Z</dcterms:created>
  <dcterms:modified xsi:type="dcterms:W3CDTF">2023-05-22T06:56:00Z</dcterms:modified>
</cp:coreProperties>
</file>